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Calibri Light" w:cs="Calibri Light" w:hAnsi="Calibri Light" w:eastAsia="Calibri Light"/>
          <w:b w:val="1"/>
          <w:bCs w:val="1"/>
        </w:rPr>
      </w:pPr>
      <w:r>
        <w:rPr>
          <w:rtl w:val="0"/>
        </w:rPr>
        <w:t>Arts of Africa, Oceania, and Indigenous North America</w:t>
      </w:r>
    </w:p>
    <w:tbl>
      <w:tblPr>
        <w:tblW w:w="60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5"/>
        <w:gridCol w:w="2970"/>
      </w:tblGrid>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pPr>
            <w:r>
              <w:rPr>
                <w:b w:val="1"/>
                <w:bCs w:val="1"/>
                <w:caps w:val="0"/>
                <w:smallCaps w:val="0"/>
                <w:strike w:val="0"/>
                <w:dstrike w:val="0"/>
                <w:outline w:val="0"/>
                <w:color w:val="000000"/>
                <w:spacing w:val="0"/>
                <w:kern w:val="0"/>
                <w:position w:val="0"/>
                <w:sz w:val="24"/>
                <w:szCs w:val="24"/>
                <w:u w:val="none" w:color="000000"/>
                <w:vertAlign w:val="baseline"/>
                <w:rtl w:val="0"/>
                <w:lang w:val="en-US"/>
              </w:rPr>
              <w:t>C-ID Number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ARTH 140</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Discipline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 History</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 xml:space="preserve">Date </w:t>
            </w:r>
            <w:r>
              <w:rPr>
                <w:b w:val="1"/>
                <w:bCs w:val="1"/>
                <w:caps w:val="0"/>
                <w:smallCaps w:val="0"/>
                <w:strike w:val="0"/>
                <w:dstrike w:val="0"/>
                <w:outline w:val="0"/>
                <w:color w:val="000000"/>
                <w:spacing w:val="0"/>
                <w:kern w:val="0"/>
                <w:position w:val="0"/>
                <w:sz w:val="24"/>
                <w:szCs w:val="24"/>
                <w:u w:val="none" w:color="000000"/>
                <w:vertAlign w:val="baseline"/>
                <w:rtl w:val="0"/>
                <w:lang w:val="en-US"/>
              </w:rPr>
              <w:t>Approved</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June 01, 2012</w:t>
            </w:r>
          </w:p>
        </w:tc>
      </w:tr>
    </w:tbl>
    <w:p>
      <w:pPr>
        <w:pStyle w:val="Heading"/>
        <w:widowControl w:val="0"/>
        <w:spacing w:line="240" w:lineRule="auto"/>
        <w:rPr>
          <w:rFonts w:ascii="Calibri Light" w:cs="Calibri Light" w:hAnsi="Calibri Light" w:eastAsia="Calibri Light"/>
          <w:b w:val="1"/>
          <w:bCs w:val="1"/>
        </w:rPr>
      </w:pPr>
    </w:p>
    <w:p>
      <w:pPr>
        <w:pStyle w:val="Body"/>
        <w:rPr>
          <w:sz w:val="24"/>
          <w:szCs w:val="24"/>
        </w:rPr>
      </w:pPr>
    </w:p>
    <w:p>
      <w:pPr>
        <w:pStyle w:val="Heading 2"/>
      </w:pPr>
      <w:r>
        <w:rPr>
          <w:rtl w:val="0"/>
        </w:rPr>
        <w:t>General Course Description</w:t>
      </w:r>
    </w:p>
    <w:p>
      <w:pPr>
        <w:pStyle w:val="Body"/>
      </w:pPr>
      <w:r>
        <w:rPr>
          <w:rtl w:val="0"/>
        </w:rPr>
        <w:t>Survey of visual culture within selected regions in Africa, Oceania, and indigenous North America.</w:t>
      </w:r>
    </w:p>
    <w:p>
      <w:pPr>
        <w:pStyle w:val="Heading 2"/>
      </w:pPr>
      <w:r>
        <w:rPr>
          <w:rtl w:val="0"/>
          <w:lang w:val="de-DE"/>
        </w:rPr>
        <w:t>Minimum Units</w:t>
      </w:r>
    </w:p>
    <w:p>
      <w:pPr>
        <w:pStyle w:val="Body"/>
      </w:pPr>
      <w:r>
        <w:rPr>
          <w:rtl w:val="0"/>
        </w:rPr>
        <w:t>3.0</w:t>
      </w:r>
    </w:p>
    <w:p>
      <w:pPr>
        <w:pStyle w:val="Heading 2"/>
      </w:pPr>
      <w:r>
        <w:rPr>
          <w:rtl w:val="0"/>
        </w:rPr>
        <w:t>Any rationale or comments</w:t>
      </w:r>
    </w:p>
    <w:p>
      <w:pPr>
        <w:pStyle w:val="Body"/>
      </w:pPr>
      <w:r>
        <w:rPr>
          <w:rtl w:val="0"/>
        </w:rPr>
        <w:t/>
      </w:r>
    </w:p>
    <w:p>
      <w:pPr>
        <w:pStyle w:val="Heading 2"/>
      </w:pPr>
      <w:r>
        <w:rPr>
          <w:rtl w:val="0"/>
        </w:rPr>
        <w:t>Advisories/Recommendations</w:t>
      </w:r>
    </w:p>
    <w:p>
      <w:pPr>
        <w:pStyle w:val="Body"/>
      </w:pPr>
      <w:r>
        <w:rPr>
          <w:rtl w:val="0"/>
        </w:rPr>
        <w:t>Completion of or concurrent enrollment in English Composition (C-ID ENGL 100)</w:t>
      </w:r>
    </w:p>
    <w:p>
      <w:pPr>
        <w:pStyle w:val="Heading 2"/>
      </w:pPr>
      <w:r>
        <w:rPr>
          <w:rtl w:val="0"/>
        </w:rPr>
        <w:t>Course Content</w:t>
      </w:r>
    </w:p>
    <w:p>
      <w:pPr>
        <w:pStyle w:val="Body"/>
      </w:pPr>
      <w:r>
        <w:rPr>
          <w:rtl w:val="0"/>
        </w:rPr>
        <w:t>This course covers art and architecture of the following regions:
Africa
Oceania
Indigenous North America
</w:t>
      </w:r>
    </w:p>
    <w:p>
      <w:pPr>
        <w:pStyle w:val="Heading 2"/>
      </w:pPr>
      <w:r>
        <w:rPr>
          <w:rtl w:val="0"/>
        </w:rPr>
        <w:t>Laboratory Activities</w:t>
      </w:r>
    </w:p>
    <w:p>
      <w:pPr>
        <w:pStyle w:val="Body"/>
      </w:pPr>
      <w:r>
        <w:rPr>
          <w:rtl w:val="0"/>
        </w:rPr>
        <w:t>None</w:t>
      </w:r>
    </w:p>
    <w:p>
      <w:pPr>
        <w:pStyle w:val="Heading 2"/>
      </w:pPr>
      <w:r>
        <w:rPr>
          <w:rtl w:val="0"/>
          <w:lang w:val="fr-FR"/>
        </w:rPr>
        <w:t>Course Objectives</w:t>
      </w:r>
    </w:p>
    <w:p>
      <w:pPr>
        <w:pStyle w:val="Body"/>
      </w:pPr>
      <w:r>
        <w:rPr>
          <w:rtl w:val="0"/>
        </w:rPr>
        <w:t>At the conclusion of this course, the student should be able to:
Identify, examine, and assess representative works of art and architecture from the art historical periods covered in this course employing appropriate art historical terminology 
Analyze, discuss, and differentiate works of art and architecture in terms of historical context and cultural values 
Analyze, discuss, and distinguish the roles of art, architecture, and the artist from the art historical periods covered in this course 
</w:t>
      </w:r>
    </w:p>
    <w:p>
      <w:pPr>
        <w:pStyle w:val="Heading 2"/>
      </w:pPr>
      <w:r>
        <w:rPr>
          <w:rtl w:val="0"/>
        </w:rPr>
        <w:t>Prerequisites</w:t>
      </w:r>
    </w:p>
    <w:p>
      <w:pPr>
        <w:pStyle w:val="Body"/>
      </w:pPr>
      <w:r>
        <w:rPr>
          <w:rtl w:val="0"/>
        </w:rPr>
        <w:t/>
      </w:r>
    </w:p>
    <w:p>
      <w:pPr>
        <w:pStyle w:val="Heading 2"/>
      </w:pPr>
      <w:r>
        <w:rPr>
          <w:rtl w:val="0"/>
        </w:rPr>
        <w:t>Corequisites</w:t>
      </w:r>
    </w:p>
    <w:p>
      <w:pPr>
        <w:pStyle w:val="Body"/>
      </w:pPr>
      <w:r>
        <w:rPr>
          <w:rtl w:val="0"/>
        </w:rPr>
        <w:t>None</w:t>
      </w:r>
    </w:p>
    <w:p>
      <w:pPr>
        <w:pStyle w:val="Heading 2"/>
      </w:pPr>
      <w:r>
        <w:rPr>
          <w:rtl w:val="0"/>
        </w:rPr>
        <w:t>Methods of Evaluation</w:t>
      </w:r>
    </w:p>
    <w:p>
      <w:pPr>
        <w:pStyle w:val="Body"/>
      </w:pPr>
      <w:r>
        <w:rPr>
          <w:rtl w:val="0"/>
        </w:rPr>
        <w:t>Methods of evaluation will include: 
1. Written essays, assignments, and/or research projects2. Essay exams 
Methods of evaluation may also include:
3. Classroom discussions4. Objective exams5. Projects and presentations</w:t>
      </w:r>
    </w:p>
    <w:p>
      <w:pPr>
        <w:pStyle w:val="Heading 2"/>
      </w:pPr>
      <w:r>
        <w:rPr>
          <w:rtl w:val="0"/>
          <w:lang w:val="de-DE"/>
        </w:rPr>
        <w:t>Sample Textbooks</w:t>
      </w:r>
    </w:p>
    <w:p>
      <w:pPr>
        <w:pStyle w:val="Body"/>
      </w:pPr>
      <w:r>
        <w:rPr>
          <w:rtl w:val="0"/>
        </w:rPr>
        <w:t>An Instructor Course Reader and/or
Oxford History of Art and World Art books such as:
Berlo, Janet Catherine and Ruth Bliss Phillips, Native North American Art.
Blier, Suzanne.  The Royal Arts of Africa: The Majesty of Form
Corbin, George. Native Arts of North America, Africa and the South Pacific
D’Alleva, A.  Arts of the Pacific Islands
Garlacke, Peter S. Early Art and Architecture in Africa.
Kaeppler, Adrienne. Pacific Arts of Polynesia and Micronesia.
Kleiner, Fred S. Gardner’s Art Through the Ages: Non-Western Perspective.
O-Riley, Michael Campen. Art Beyond the West.
Visona, et al.  A History of Art in Africa.</w:t>
      </w:r>
    </w:p>
    <w:p>
      <w:pPr>
        <w:pStyle w:val="Heading 2"/>
      </w:pPr>
      <w:r>
        <w:rPr>
          <w:rtl w:val="0"/>
        </w:rPr>
        <w:t>Notes</w:t>
      </w:r>
    </w:p>
    <w:p>
      <w:pPr>
        <w:pStyle w:val="Body"/>
      </w:pPr>
      <w:r>
        <w:rPr>
          <w:rtl w:val="0"/>
        </w:rPr>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26"/>
      <w:szCs w:val="26"/>
      <w:u w:val="none" w:color="2e74b5"/>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