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Art of the Ancient Americas</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145</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June 01,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Survey of visual culture within the historical context of selected ancient civilizations in Mexico, Central America, and South America up to European contact.</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The course will give consideration to Mesoamerica (Mexico and Central America) and South America.
Mesoamerica:OlmecCultures of Middle to Late FormativeWest MexicoTeotihuacanZapotecClassic MayaClassic VeracruzToltecAztecSpanish Contact 
South America:Pre-Ceramic PeriodChavinParacasNascaMocheTiwanakuWariChimúIncaEuropean Contact
Order and emphasis of core topics may vary from instructor to instructor.</w:t>
      </w:r>
    </w:p>
    <w:p>
      <w:pPr>
        <w:pStyle w:val="Heading 2"/>
      </w:pPr>
      <w:r>
        <w:rPr>
          <w:rtl w:val="0"/>
        </w:rPr>
        <w:t>Laboratory Activities</w:t>
      </w:r>
    </w:p>
    <w:p>
      <w:pPr>
        <w:pStyle w:val="Body"/>
      </w:pPr>
      <w:r>
        <w:rPr>
          <w:rtl w:val="0"/>
        </w:rPr>
        <w:t/>
      </w:r>
    </w:p>
    <w:p>
      <w:pPr>
        <w:pStyle w:val="Heading 2"/>
      </w:pPr>
      <w:r>
        <w:rPr>
          <w:rtl w:val="0"/>
          <w:lang w:val="fr-FR"/>
        </w:rPr>
        <w:t>Course Objectives</w:t>
      </w:r>
    </w:p>
    <w:p>
      <w:pPr>
        <w:pStyle w:val="Body"/>
      </w:pPr>
      <w:r>
        <w:rPr>
          <w:rtl w:val="0"/>
        </w:rPr>
        <w:t>At the conclusion of this course, the student should be able to:
Identify, examine, and assess representative works of art and architecture from the art historical periods covered in this course employing appropriate art historical terminology 
Analyze, discuss, and differentiate works of art and architecture in terms of historical context and cultural values 
Analyze, discuss, and distinguish the roles of art, architecture, and the artist form the art historical periods covered in this course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Methods of evaluation will include:
1. Written essays, assignments and/or research projects2. Essay exams
Methods of evaluation may also include:
3. Classroom discussions4. Objective exams5. Projects and presentations</w:t>
      </w:r>
    </w:p>
    <w:p>
      <w:pPr>
        <w:pStyle w:val="Heading 2"/>
      </w:pPr>
      <w:r>
        <w:rPr>
          <w:rtl w:val="0"/>
          <w:lang w:val="de-DE"/>
        </w:rPr>
        <w:t>Sample Textbooks</w:t>
      </w:r>
    </w:p>
    <w:p>
      <w:pPr>
        <w:pStyle w:val="Body"/>
      </w:pPr>
      <w:r>
        <w:rPr>
          <w:rtl w:val="0"/>
        </w:rPr>
        <w:t>Coe, Michael D. and Rex Koontz. Mexico from the Olmecs to the Aztecs. Thames and Hudson
Miller, Mary. The Art of Mesoamerica from Olmec to Aztec. Thames and Hudson.
Stone-Miller, Rebecca. The Art of the Andes from Chavin to Inca. Thames and Hudson.</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