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World History since 1500</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 160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History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29,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Survey of the development of world civilizations since 1500.</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1. The Origins of Global Interdependence, 1500-1800
The Age of Revolution, 1750-1914
The Age of Industry, 1750-1914
The Age of Empire, 1750-1914
The World in Upheaval: The World Wars, 1914-1945
Decolonization and the End of Empires, 1900-present
Nationalism and Political Identity in Asia, Africa, and Latin America, 1900-present
A World Without Borders, 1980 to the present 
</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Demonstrate the ability to interpret primary and secondary sources and to compose an argument which uses them, as appropriate, for support.
Analyze broad patterns of change on both interregional scales and within complex societies.
Demonstrate an understanding of civilization through multiple analytical categories such as race, class, gender and ethnicity.
Explain ways in which the world’s physical and natural environment has affected and been affected by developments in human history.
Analyze ways in which human groups have interacted with one another, including trade, migration, warfare, cultural exchange, and biological exchange, from 1500 C.E. to present.
Compare distinctive forms of political, social, and economic organization in the world and explain their historical significance.
Identify major discoveries, inventions, and scientific achievements and explain their historical significance.
Explain the historical significance of cultural developments such as art, music, architecture, literature and religion.
Compare ideals, practices, and historical developments of major belief systems and philosophical systems.
Analyze historical developments across national, regional, and cultural boundaries.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Will include:
Written essays and/or research projects.
Essay exams.
Can also include:
Classroom discussions that include primary and secondary sources.
Objective exams.
Classroom projects and presentations.
</w:t>
      </w:r>
    </w:p>
    <w:p>
      <w:pPr>
        <w:pStyle w:val="Heading 2"/>
      </w:pPr>
      <w:r>
        <w:rPr>
          <w:rtl w:val="0"/>
          <w:lang w:val="de-DE"/>
        </w:rPr>
        <w:t>Sample Textbooks</w:t>
      </w:r>
    </w:p>
    <w:p>
      <w:pPr>
        <w:pStyle w:val="Body"/>
      </w:pPr>
      <w:r>
        <w:rPr>
          <w:rtl w:val="0"/>
        </w:rPr>
        <w:t>Bentley, Traditions and EncountersBuillett, The Earth and Its PeoplesDuiker, World HistoryFernandez Armesto,  The WorldHill, A History of World SocietiesSpielvogel, World HistorySpodek, The World’s History</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